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315A8C"/>
          <w:sz w:val="44"/>
        </w:rPr>
        <w:t>SAMPLE CANDIDATE</w:t>
      </w:r>
    </w:p>
    <w:p>
      <w:pPr>
        <w:spacing w:after="80"/>
      </w:pPr>
      <w:r>
        <w:rPr>
          <w:b/>
          <w:color w:val="315A8C"/>
          <w:sz w:val="20"/>
        </w:rPr>
        <w:t>FRANCE CV FOR INTERNATIONAL CANDIDATES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315A8C"/>
        </w:pBdr>
      </w:pPr>
      <w:r>
        <w:rPr>
          <w:b/>
          <w:color w:val="315A8C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France CV for International Candidates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